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spacing w:after="0" w:line="570" w:lineRule="exact"/>
        <w:jc w:val="both"/>
        <w:outlineLvl w:val="9"/>
        <w:rPr>
          <w:rFonts w:ascii="黑体" w:hAnsi="黑体" w:eastAsia="PMingLiU"/>
          <w:color w:val="auto"/>
          <w:sz w:val="32"/>
        </w:rPr>
      </w:pPr>
      <w:bookmarkStart w:id="0" w:name="bookmark27"/>
      <w:bookmarkStart w:id="1" w:name="bookmark26"/>
      <w:bookmarkStart w:id="2" w:name="bookmark28"/>
      <w:r>
        <w:rPr>
          <w:rFonts w:hint="eastAsia" w:ascii="黑体" w:hAnsi="黑体" w:eastAsia="黑体"/>
          <w:color w:val="auto"/>
          <w:sz w:val="32"/>
        </w:rPr>
        <w:t>附件</w:t>
      </w:r>
    </w:p>
    <w:p>
      <w:pPr>
        <w:pStyle w:val="6"/>
        <w:keepNext/>
        <w:keepLines/>
        <w:spacing w:after="0" w:line="640" w:lineRule="exact"/>
        <w:outlineLvl w:val="0"/>
        <w:rPr>
          <w:rFonts w:ascii="Times New Roman" w:hAnsi="黑体" w:eastAsia="方正小标宋简体"/>
          <w:color w:val="auto"/>
          <w:sz w:val="44"/>
        </w:rPr>
      </w:pPr>
    </w:p>
    <w:p>
      <w:pPr>
        <w:pStyle w:val="6"/>
        <w:keepNext/>
        <w:keepLines/>
        <w:spacing w:after="0" w:line="640" w:lineRule="exact"/>
        <w:outlineLvl w:val="0"/>
        <w:rPr>
          <w:rFonts w:ascii="Times New Roman" w:eastAsia="方正小标宋简体"/>
          <w:color w:val="39413F"/>
          <w:sz w:val="44"/>
        </w:rPr>
      </w:pPr>
      <w:r>
        <w:rPr>
          <w:rFonts w:ascii="Times New Roman" w:eastAsia="方正小标宋简体"/>
          <w:color w:val="39413F"/>
          <w:sz w:val="44"/>
        </w:rPr>
        <w:t>第</w:t>
      </w:r>
      <w:r>
        <w:rPr>
          <w:rFonts w:hint="eastAsia" w:ascii="Times New Roman" w:hAnsi="Times New Roman" w:eastAsia="方正小标宋简体" w:cs="Times New Roman"/>
          <w:color w:val="39413F"/>
          <w:sz w:val="44"/>
          <w:szCs w:val="42"/>
          <w:lang w:val="en-US" w:eastAsia="zh-CN"/>
        </w:rPr>
        <w:t>三</w:t>
      </w:r>
      <w:r>
        <w:rPr>
          <w:rFonts w:ascii="Times New Roman" w:eastAsia="方正小标宋简体"/>
          <w:color w:val="39413F"/>
          <w:sz w:val="44"/>
        </w:rPr>
        <w:t>轮省级生态环境保护督察第</w:t>
      </w:r>
      <w:r>
        <w:rPr>
          <w:rFonts w:hint="eastAsia" w:ascii="Times New Roman" w:hAnsi="Times New Roman" w:eastAsia="方正小标宋简体" w:cs="Times New Roman"/>
          <w:color w:val="39413F"/>
          <w:sz w:val="44"/>
          <w:szCs w:val="42"/>
          <w:lang w:val="en-US" w:eastAsia="zh-CN"/>
        </w:rPr>
        <w:t>二十二</w:t>
      </w:r>
      <w:r>
        <w:rPr>
          <w:rFonts w:ascii="Times New Roman" w:eastAsia="方正小标宋简体"/>
          <w:color w:val="39413F"/>
          <w:sz w:val="44"/>
        </w:rPr>
        <w:t>项</w:t>
      </w:r>
    </w:p>
    <w:p>
      <w:pPr>
        <w:pStyle w:val="6"/>
        <w:keepNext/>
        <w:keepLines/>
        <w:spacing w:after="0" w:line="640" w:lineRule="exact"/>
        <w:outlineLvl w:val="0"/>
        <w:rPr>
          <w:rFonts w:ascii="Times New Roman" w:eastAsia="方正小标宋简体"/>
          <w:color w:val="39413F"/>
          <w:sz w:val="44"/>
        </w:rPr>
      </w:pPr>
      <w:r>
        <w:rPr>
          <w:rFonts w:ascii="Times New Roman" w:eastAsia="方正小标宋简体"/>
          <w:color w:val="39413F"/>
          <w:sz w:val="44"/>
        </w:rPr>
        <w:t>整改任务完成情况表</w:t>
      </w:r>
      <w:bookmarkEnd w:id="0"/>
      <w:bookmarkEnd w:id="1"/>
      <w:bookmarkEnd w:id="2"/>
    </w:p>
    <w:p>
      <w:pPr>
        <w:pStyle w:val="6"/>
        <w:keepNext/>
        <w:keepLines/>
        <w:spacing w:after="0" w:line="640" w:lineRule="exact"/>
        <w:outlineLvl w:val="0"/>
        <w:rPr>
          <w:rFonts w:ascii="Times New Roman" w:eastAsia="方正小标宋简体"/>
          <w:sz w:val="44"/>
        </w:rPr>
      </w:pPr>
    </w:p>
    <w:tbl>
      <w:tblPr>
        <w:tblStyle w:val="4"/>
        <w:tblW w:w="897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09"/>
        <w:gridCol w:w="6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4" w:hRule="exac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560" w:lineRule="exact"/>
              <w:ind w:firstLine="0"/>
              <w:jc w:val="center"/>
              <w:outlineLvl w:val="1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9413F"/>
              </w:rPr>
              <w:t>整改任务</w:t>
            </w:r>
          </w:p>
        </w:tc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158" w:leftChars="50" w:right="158" w:rightChars="50" w:firstLine="632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32"/>
                <w:lang w:val="en-US" w:eastAsia="zh-CN"/>
              </w:rPr>
              <w:t>第三轮省级生态环境保护督察第二十二项整改任务：一些下属企业危险废物管理混乱，产处底数不清、短板突出。2022年49条运营高速公路的危险废物申报产生量均为0，成渝高速成仁分公司，巴广渝、广安绕城高速公司违法将危险废物委托给不具备资质的企业处理，甚至将危险废物与普通垃圾混装处理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exac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560" w:lineRule="exact"/>
              <w:ind w:firstLine="0"/>
              <w:jc w:val="center"/>
              <w:outlineLvl w:val="1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9413F"/>
              </w:rPr>
              <w:t>整改责任单位</w:t>
            </w:r>
          </w:p>
        </w:tc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158" w:leftChars="50" w:right="158" w:rightChars="50" w:firstLine="632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32"/>
                <w:lang w:val="en-US" w:eastAsia="zh-CN"/>
              </w:rPr>
              <w:t>四川藏区高速公路有限责任公司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4" w:hRule="exac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560" w:lineRule="exact"/>
              <w:ind w:firstLine="0"/>
              <w:jc w:val="center"/>
              <w:outlineLvl w:val="1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9413F"/>
              </w:rPr>
              <w:t>整改目标</w:t>
            </w:r>
          </w:p>
        </w:tc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158" w:leftChars="50" w:right="158" w:rightChars="50" w:firstLine="632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32"/>
                <w:lang w:val="en-US" w:eastAsia="zh-CN"/>
              </w:rPr>
              <w:t>补齐危废管理短板，健全完善危险废物管理机制。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8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560" w:lineRule="exact"/>
              <w:ind w:firstLine="0"/>
              <w:jc w:val="center"/>
              <w:outlineLvl w:val="1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1F2121"/>
              </w:rPr>
              <w:t>整改措施</w:t>
            </w:r>
          </w:p>
        </w:tc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158" w:leftChars="50" w:right="158" w:rightChars="50" w:firstLine="632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32"/>
                <w:lang w:val="en-US" w:eastAsia="zh-CN"/>
              </w:rPr>
              <w:t>1.2023年8月底前，组织开展危险废物相关规范、标准培训，提升危险废物管理意识和能力。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158" w:leftChars="50" w:right="158" w:rightChars="50" w:firstLine="632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32"/>
                <w:lang w:val="en-US" w:eastAsia="zh-CN"/>
              </w:rPr>
              <w:t>2.2023年9月底前，完善危险废物管理制度，建立危险废物产生、处置台账，严格危险废物收集、暂存、转运流程。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5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560" w:lineRule="exact"/>
              <w:ind w:firstLine="0"/>
              <w:jc w:val="center"/>
              <w:outlineLvl w:val="1"/>
              <w:rPr>
                <w:rFonts w:hint="default" w:ascii="Times New Roman" w:hAnsi="Times New Roman" w:eastAsia="PMingLiU" w:cs="Times New Roman"/>
                <w:color w:val="1F2121"/>
              </w:rPr>
            </w:pPr>
            <w:r>
              <w:rPr>
                <w:rFonts w:hint="default" w:ascii="Times New Roman" w:hAnsi="Times New Roman" w:eastAsia="黑体" w:cs="Times New Roman"/>
                <w:color w:val="1F2121"/>
              </w:rPr>
              <w:t>整改主要工作</w:t>
            </w:r>
          </w:p>
          <w:p>
            <w:pPr>
              <w:pStyle w:val="7"/>
              <w:spacing w:line="560" w:lineRule="exact"/>
              <w:ind w:firstLine="0"/>
              <w:jc w:val="center"/>
              <w:outlineLvl w:val="1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1F2121"/>
              </w:rPr>
              <w:t>及成效</w:t>
            </w:r>
          </w:p>
        </w:tc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before="91" w:line="220" w:lineRule="auto"/>
              <w:ind w:left="2" w:firstLine="632" w:firstLineChars="20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1.雅康（泸石）、汶马、久马公司已开展危险废物相关规范、标准培训，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提升了危险废物管理意识和能力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158" w:leftChars="50" w:right="158" w:rightChars="50" w:firstLine="632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2.雅康（泸石）、汶马、久马公司已制定危险废物管理制度，明确了危险废物收集、暂存、转运流程。</w:t>
            </w:r>
          </w:p>
        </w:tc>
      </w:tr>
    </w:tbl>
    <w:p>
      <w:pPr>
        <w:rPr>
          <w:lang w:eastAsia="zh-CN"/>
        </w:rPr>
      </w:pPr>
    </w:p>
    <w:p>
      <w:bookmarkStart w:id="3" w:name="_GoBack"/>
      <w:bookmarkEnd w:id="3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2098" w:right="1474" w:bottom="1984" w:left="1587" w:header="850" w:footer="1417" w:gutter="0"/>
      <w:cols w:space="425" w:num="1"/>
      <w:docGrid w:type="linesAndChars" w:linePitch="579" w:charSpace="-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D39EE7-B565-4B2B-B740-EED596A2D2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DB79668-565D-45FF-8E9C-2D3CDCD43F7A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  <w:embedRegular r:id="rId3" w:fontKey="{60BFC610-6D57-4A54-8710-CA532C2859E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0272897-B2B1-4CB0-8648-48B2E4AF40E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B26A7A3-053E-4450-9295-A831B0187F1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napToGrid/>
      <w:ind w:right="320" w:rightChars="100"/>
      <w:jc w:val="right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Page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napToGrid/>
      <w:ind w:left="320" w:leftChars="100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Page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3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NjZiNzM3OTViZTY2Y2VmMDNjNmYxZTkzOTAxYTQifQ=="/>
  </w:docVars>
  <w:rsids>
    <w:rsidRoot w:val="262D63AB"/>
    <w:rsid w:val="262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32"/>
      <w:szCs w:val="24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ing #2|1"/>
    <w:basedOn w:val="1"/>
    <w:qFormat/>
    <w:uiPriority w:val="0"/>
    <w:pPr>
      <w:spacing w:after="520" w:line="641" w:lineRule="exact"/>
      <w:jc w:val="center"/>
      <w:outlineLvl w:val="1"/>
    </w:pPr>
    <w:rPr>
      <w:rFonts w:ascii="宋体" w:hAnsi="宋体" w:eastAsia="宋体" w:cs="宋体"/>
      <w:sz w:val="46"/>
      <w:szCs w:val="46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spacing w:line="374" w:lineRule="auto"/>
      <w:ind w:firstLine="400"/>
    </w:pPr>
    <w:rPr>
      <w:rFonts w:ascii="宋体" w:hAnsi="宋体" w:eastAsia="宋体" w:cs="宋体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2023-09-28T09:51:00Z</dcterms:created>
  <dc:creator>RUI</dc:creator>
  <cp:lastModifiedBy>RUI</cp:lastModifiedBy>
  <dcterms:modified xsi:type="dcterms:W3CDTF">2023-09-28T09:52:03Z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FF39DB0DB00D4C75BBD1B306E99BD7C3_11</vt:lpwstr>
  </property>
</Properties>
</file>